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E" w:rsidRDefault="000E454E" w:rsidP="000E454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bookmarkStart w:id="0" w:name="_Hlk86237530"/>
      <w:bookmarkStart w:id="1" w:name="_GoBack"/>
      <w:bookmarkEnd w:id="1"/>
    </w:p>
    <w:p w:rsidR="000E454E" w:rsidRDefault="000E454E" w:rsidP="000E454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0E454E" w:rsidRDefault="000E454E" w:rsidP="000E454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0E454E" w:rsidRPr="001428DC" w:rsidRDefault="000E454E" w:rsidP="000E454E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0E454E" w:rsidRPr="001428DC" w:rsidRDefault="000E454E" w:rsidP="000E454E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   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0E454E" w:rsidRDefault="000E454E" w:rsidP="000E454E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8D156B" w:rsidRPr="001428DC" w:rsidRDefault="008D156B" w:rsidP="000E454E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0E454E" w:rsidRPr="001428DC" w:rsidRDefault="000E454E" w:rsidP="000E454E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0E454E" w:rsidRPr="001428DC" w:rsidRDefault="000E454E" w:rsidP="000E45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74</w:t>
      </w:r>
    </w:p>
    <w:p w:rsidR="000E454E" w:rsidRPr="00430D0A" w:rsidRDefault="000E454E" w:rsidP="000E454E">
      <w:pPr>
        <w:jc w:val="center"/>
        <w:rPr>
          <w:rFonts w:eastAsia="Times New Roman" w:cs="Arial"/>
          <w:kern w:val="0"/>
          <w:sz w:val="26"/>
          <w:szCs w:val="26"/>
          <w:lang w:eastAsia="ru-RU"/>
        </w:rPr>
      </w:pPr>
    </w:p>
    <w:p w:rsidR="000E454E" w:rsidRPr="00553EE2" w:rsidRDefault="000E454E" w:rsidP="000E454E">
      <w:pPr>
        <w:jc w:val="center"/>
        <w:rPr>
          <w:b/>
        </w:rPr>
      </w:pPr>
      <w:r w:rsidRPr="00553EE2">
        <w:rPr>
          <w:b/>
        </w:rPr>
        <w:t>О внесении изменений в решение окружного Совета депутатов муниципального образования «Славский городской округ» от 18.08.2021 №47 Об утверждении Положения по исполнению муниципальной функции «Осуществление муниципального земельного контроля на территории муниципального образования «Славский городской округ»</w:t>
      </w:r>
    </w:p>
    <w:p w:rsidR="000E454E" w:rsidRDefault="000E454E" w:rsidP="000E454E">
      <w:pPr>
        <w:jc w:val="both"/>
      </w:pPr>
    </w:p>
    <w:p w:rsidR="000E454E" w:rsidRDefault="000E454E" w:rsidP="000E454E">
      <w:pPr>
        <w:ind w:firstLine="709"/>
        <w:jc w:val="both"/>
      </w:pPr>
      <w:r>
        <w:t>Руководствуясь ст. 72 Земельного кодекса РФ от 25 октября 2001 года № 136-ФЗ,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на основании Устава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0E454E" w:rsidRDefault="000E454E" w:rsidP="000E454E">
      <w:pPr>
        <w:jc w:val="both"/>
      </w:pPr>
    </w:p>
    <w:p w:rsidR="000E454E" w:rsidRPr="00553EE2" w:rsidRDefault="000E454E" w:rsidP="000E454E">
      <w:pPr>
        <w:jc w:val="center"/>
        <w:rPr>
          <w:b/>
        </w:rPr>
      </w:pPr>
      <w:r w:rsidRPr="00553EE2">
        <w:rPr>
          <w:b/>
        </w:rPr>
        <w:t>РЕШИЛ:</w:t>
      </w: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  <w:r>
        <w:t>1.</w:t>
      </w:r>
      <w:r>
        <w:tab/>
        <w:t>Внести в Положение по исполнению муниципальной функции «Осуществление муниципального земельного контроля на территории муниципального образования «Славский городской округ», утверждённое решением окружного Совета депутатов муниципального образования «Славский городской округ» от 18.08.2021 №47 следующие изменения:</w:t>
      </w:r>
    </w:p>
    <w:p w:rsidR="000E454E" w:rsidRDefault="000E454E" w:rsidP="000E454E">
      <w:pPr>
        <w:jc w:val="both"/>
      </w:pPr>
      <w:r>
        <w:t>- дополнить Положение по исполнению муниципальной функции «Осуществление муниципального земельного контроля на территории муниципального образования «Славский городской округ» Разделом 11 следующего содержания:</w:t>
      </w:r>
    </w:p>
    <w:p w:rsidR="000E454E" w:rsidRDefault="000E454E" w:rsidP="000E454E">
      <w:pPr>
        <w:jc w:val="both"/>
      </w:pPr>
    </w:p>
    <w:p w:rsidR="000E454E" w:rsidRPr="00553EE2" w:rsidRDefault="000E454E" w:rsidP="000E454E">
      <w:pPr>
        <w:jc w:val="center"/>
        <w:rPr>
          <w:b/>
        </w:rPr>
      </w:pPr>
      <w:r>
        <w:rPr>
          <w:b/>
        </w:rPr>
        <w:t>«</w:t>
      </w:r>
      <w:r w:rsidRPr="00553EE2">
        <w:rPr>
          <w:b/>
        </w:rPr>
        <w:t>Раздел 11. УПРАВЛЕНИЕ РИСКАМИ ПРИЧИНЕНИЯ ВРЕДА (УЩЕРБА) ОХРАНЯЕМЫМ ЗАКОНОМ ЦЕННОСТЯМ ПРИ ОСУЩЕСТВЛЕНИИ ВИДА КОНТРОЛЯ</w:t>
      </w: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  <w:r>
        <w:t xml:space="preserve">89.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0E454E" w:rsidRDefault="000E454E" w:rsidP="000E454E">
      <w:pPr>
        <w:jc w:val="both"/>
      </w:pPr>
      <w:r>
        <w:t xml:space="preserve">средний риск; </w:t>
      </w:r>
    </w:p>
    <w:p w:rsidR="000E454E" w:rsidRDefault="000E454E" w:rsidP="000E454E">
      <w:pPr>
        <w:jc w:val="both"/>
      </w:pPr>
      <w:r>
        <w:t xml:space="preserve">умеренный риск; </w:t>
      </w:r>
    </w:p>
    <w:p w:rsidR="000E454E" w:rsidRDefault="000E454E" w:rsidP="000E454E">
      <w:pPr>
        <w:jc w:val="both"/>
      </w:pPr>
      <w:r>
        <w:t xml:space="preserve">низкий риск. </w:t>
      </w:r>
    </w:p>
    <w:p w:rsidR="000E454E" w:rsidRDefault="000E454E" w:rsidP="000E454E">
      <w:pPr>
        <w:jc w:val="both"/>
      </w:pPr>
      <w:r>
        <w:t>90. К категории среднего риска относятся:</w:t>
      </w:r>
    </w:p>
    <w:p w:rsidR="000E454E" w:rsidRDefault="000E454E" w:rsidP="000E454E">
      <w:pPr>
        <w:jc w:val="both"/>
      </w:pPr>
      <w:r>
        <w:t xml:space="preserve">а) земельные участки, предназначенные для захоронения и размещения твёрдых бытовых отходов, размещения кладбищ, и примыкающие к ним земельные участки; </w:t>
      </w:r>
    </w:p>
    <w:p w:rsidR="008D156B" w:rsidRDefault="008D156B" w:rsidP="000E454E">
      <w:pPr>
        <w:jc w:val="both"/>
      </w:pPr>
    </w:p>
    <w:p w:rsidR="008D156B" w:rsidRDefault="008D156B" w:rsidP="000E454E">
      <w:pPr>
        <w:jc w:val="both"/>
      </w:pPr>
    </w:p>
    <w:p w:rsidR="00D71232" w:rsidRDefault="000E454E" w:rsidP="000E454E">
      <w:pPr>
        <w:jc w:val="both"/>
      </w:pPr>
      <w:r>
        <w:t xml:space="preserve"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 </w:t>
      </w:r>
    </w:p>
    <w:p w:rsidR="000E454E" w:rsidRDefault="000E454E" w:rsidP="000E454E">
      <w:pPr>
        <w:jc w:val="both"/>
      </w:pPr>
      <w:r>
        <w:t xml:space="preserve">91. К категории умеренного риска относятся земельные участки со следующими видами разрешённого использования: </w:t>
      </w:r>
    </w:p>
    <w:p w:rsidR="000E454E" w:rsidRDefault="000E454E" w:rsidP="000E454E">
      <w:pPr>
        <w:jc w:val="both"/>
      </w:pPr>
      <w:r>
        <w:t xml:space="preserve">а) сельскохозяйственное использование (код 1.0); </w:t>
      </w:r>
    </w:p>
    <w:p w:rsidR="000E454E" w:rsidRDefault="000E454E" w:rsidP="000E454E">
      <w:pPr>
        <w:jc w:val="both"/>
      </w:pPr>
      <w:r>
        <w:t xml:space="preserve">б) объекты торговли (торговые центры, торгово-развлекательные центры (комплексы) (код 4.2); </w:t>
      </w:r>
    </w:p>
    <w:p w:rsidR="000E454E" w:rsidRDefault="000E454E" w:rsidP="000E454E">
      <w:pPr>
        <w:jc w:val="both"/>
      </w:pPr>
      <w:r>
        <w:t xml:space="preserve">в) рынки (код 4.3); </w:t>
      </w:r>
    </w:p>
    <w:p w:rsidR="000E454E" w:rsidRDefault="000E454E" w:rsidP="000E454E">
      <w:pPr>
        <w:jc w:val="both"/>
      </w:pPr>
      <w:r>
        <w:t xml:space="preserve">г) магазины (код 4.4); </w:t>
      </w:r>
    </w:p>
    <w:p w:rsidR="000E454E" w:rsidRDefault="000E454E" w:rsidP="000E454E">
      <w:pPr>
        <w:jc w:val="both"/>
      </w:pPr>
      <w:r>
        <w:t xml:space="preserve">д) общественное питание (код 4.6); </w:t>
      </w:r>
    </w:p>
    <w:p w:rsidR="000E454E" w:rsidRDefault="000E454E" w:rsidP="000E454E">
      <w:pPr>
        <w:jc w:val="both"/>
      </w:pPr>
      <w:r>
        <w:t xml:space="preserve">е) гостиничное обслуживание (код 4.7); </w:t>
      </w:r>
    </w:p>
    <w:p w:rsidR="000E454E" w:rsidRDefault="000E454E" w:rsidP="000E454E">
      <w:pPr>
        <w:jc w:val="both"/>
      </w:pPr>
      <w:r>
        <w:t xml:space="preserve">ж) объекты дорожного сервиса (код 4.9.1); </w:t>
      </w:r>
    </w:p>
    <w:p w:rsidR="000E454E" w:rsidRDefault="000E454E" w:rsidP="000E454E">
      <w:pPr>
        <w:jc w:val="both"/>
      </w:pPr>
      <w:r>
        <w:t xml:space="preserve">з) тяжёлая промышленность (код 6.2); </w:t>
      </w:r>
    </w:p>
    <w:p w:rsidR="000E454E" w:rsidRDefault="000E454E" w:rsidP="000E454E">
      <w:pPr>
        <w:jc w:val="both"/>
      </w:pPr>
      <w:r>
        <w:t xml:space="preserve">и) лёгкая промышленность (код 6.3); </w:t>
      </w:r>
    </w:p>
    <w:p w:rsidR="000E454E" w:rsidRDefault="000E454E" w:rsidP="000E454E">
      <w:pPr>
        <w:jc w:val="both"/>
      </w:pPr>
      <w:r>
        <w:t xml:space="preserve">к) фармацевтическая промышленность (код 6.3.1); </w:t>
      </w:r>
    </w:p>
    <w:p w:rsidR="000E454E" w:rsidRDefault="000E454E" w:rsidP="000E454E">
      <w:pPr>
        <w:jc w:val="both"/>
      </w:pPr>
      <w:r>
        <w:t xml:space="preserve">л) пищевая промышленность (код 6.4); </w:t>
      </w:r>
    </w:p>
    <w:p w:rsidR="000E454E" w:rsidRDefault="000E454E" w:rsidP="000E454E">
      <w:pPr>
        <w:jc w:val="both"/>
      </w:pPr>
      <w:r>
        <w:t xml:space="preserve">м) нефтехимическая промышленность (код 6.5); </w:t>
      </w:r>
    </w:p>
    <w:p w:rsidR="000E454E" w:rsidRDefault="000E454E" w:rsidP="000E454E">
      <w:pPr>
        <w:jc w:val="both"/>
      </w:pPr>
      <w:r>
        <w:t xml:space="preserve">н) строительная промышленность (код 6.6); </w:t>
      </w:r>
    </w:p>
    <w:p w:rsidR="000E454E" w:rsidRDefault="000E454E" w:rsidP="000E454E">
      <w:pPr>
        <w:jc w:val="both"/>
      </w:pPr>
      <w:r>
        <w:t xml:space="preserve">о) энергетика (код 6.7); </w:t>
      </w:r>
    </w:p>
    <w:p w:rsidR="000E454E" w:rsidRDefault="000E454E" w:rsidP="000E454E">
      <w:pPr>
        <w:jc w:val="both"/>
      </w:pPr>
      <w:r>
        <w:t xml:space="preserve">п) склады (код 6.9); </w:t>
      </w:r>
    </w:p>
    <w:p w:rsidR="000E454E" w:rsidRDefault="000E454E" w:rsidP="000E454E">
      <w:pPr>
        <w:jc w:val="both"/>
      </w:pPr>
      <w:r>
        <w:t xml:space="preserve">р) целлюлозно-бумажная промышленность (код 6.11); </w:t>
      </w:r>
    </w:p>
    <w:p w:rsidR="000E454E" w:rsidRDefault="000E454E" w:rsidP="000E454E">
      <w:pPr>
        <w:jc w:val="both"/>
      </w:pPr>
      <w:r>
        <w:t xml:space="preserve">с) автомобильный транспорт (код 7.2); </w:t>
      </w:r>
    </w:p>
    <w:p w:rsidR="000E454E" w:rsidRDefault="000E454E" w:rsidP="000E454E">
      <w:pPr>
        <w:jc w:val="both"/>
      </w:pPr>
      <w:r>
        <w:t xml:space="preserve">т) ведение садоводства (код 13.2); </w:t>
      </w:r>
    </w:p>
    <w:p w:rsidR="000E454E" w:rsidRDefault="000E454E" w:rsidP="000E454E">
      <w:pPr>
        <w:jc w:val="both"/>
      </w:pPr>
      <w:r>
        <w:t xml:space="preserve">у) ведение огородничества (код 13.1); </w:t>
      </w:r>
    </w:p>
    <w:p w:rsidR="000E454E" w:rsidRDefault="000E454E" w:rsidP="000E454E">
      <w:pPr>
        <w:jc w:val="both"/>
      </w:pPr>
      <w:r>
        <w:t xml:space="preserve">ф) граничащие с земельными участками с видами разрешённого использования: </w:t>
      </w:r>
    </w:p>
    <w:p w:rsidR="000E454E" w:rsidRDefault="000E454E" w:rsidP="000E454E">
      <w:pPr>
        <w:jc w:val="both"/>
      </w:pPr>
      <w:r>
        <w:t xml:space="preserve">сельскохозяйственное использование (код 1.0); </w:t>
      </w:r>
    </w:p>
    <w:p w:rsidR="000E454E" w:rsidRDefault="000E454E" w:rsidP="000E454E">
      <w:pPr>
        <w:jc w:val="both"/>
      </w:pPr>
      <w:r>
        <w:t xml:space="preserve">питомники (код 1.17); </w:t>
      </w:r>
    </w:p>
    <w:p w:rsidR="000E454E" w:rsidRDefault="000E454E" w:rsidP="000E454E">
      <w:pPr>
        <w:jc w:val="both"/>
      </w:pPr>
      <w:r>
        <w:t xml:space="preserve">природно-познавательный туризм (код 5.2); </w:t>
      </w:r>
    </w:p>
    <w:p w:rsidR="000E454E" w:rsidRDefault="000E454E" w:rsidP="000E454E">
      <w:pPr>
        <w:jc w:val="both"/>
      </w:pPr>
      <w:r>
        <w:t xml:space="preserve">деятельность по особой охране и изучению природы (код 9.0); </w:t>
      </w:r>
    </w:p>
    <w:p w:rsidR="000E454E" w:rsidRDefault="000E454E" w:rsidP="000E454E">
      <w:pPr>
        <w:jc w:val="both"/>
      </w:pPr>
      <w:r>
        <w:t xml:space="preserve">охрана природных территорий (код 9.1); </w:t>
      </w:r>
    </w:p>
    <w:p w:rsidR="000E454E" w:rsidRDefault="000E454E" w:rsidP="000E454E">
      <w:pPr>
        <w:jc w:val="both"/>
      </w:pPr>
      <w:r>
        <w:t xml:space="preserve">курортная деятельность (код 9.2); </w:t>
      </w:r>
    </w:p>
    <w:p w:rsidR="000E454E" w:rsidRDefault="000E454E" w:rsidP="000E454E">
      <w:pPr>
        <w:jc w:val="both"/>
      </w:pPr>
      <w:r>
        <w:t xml:space="preserve">санаторная деятельность (код 9.2.1); </w:t>
      </w:r>
    </w:p>
    <w:p w:rsidR="000E454E" w:rsidRDefault="000E454E" w:rsidP="000E454E">
      <w:pPr>
        <w:jc w:val="both"/>
      </w:pPr>
      <w:r>
        <w:t xml:space="preserve">резервные леса (код 10.4); </w:t>
      </w:r>
    </w:p>
    <w:p w:rsidR="000E454E" w:rsidRDefault="000E454E" w:rsidP="000E454E">
      <w:pPr>
        <w:jc w:val="both"/>
      </w:pPr>
      <w:r>
        <w:t xml:space="preserve">общее пользование водными объектами (код 11.1); </w:t>
      </w:r>
    </w:p>
    <w:p w:rsidR="000E454E" w:rsidRDefault="000E454E" w:rsidP="000E454E">
      <w:pPr>
        <w:jc w:val="both"/>
      </w:pPr>
      <w:r>
        <w:t xml:space="preserve">гидротехнические сооружения (код 11.3); </w:t>
      </w:r>
    </w:p>
    <w:p w:rsidR="000E454E" w:rsidRDefault="000E454E" w:rsidP="000E454E">
      <w:pPr>
        <w:jc w:val="both"/>
      </w:pPr>
      <w:r>
        <w:t xml:space="preserve">ведение огородничества (код 13.1); </w:t>
      </w:r>
    </w:p>
    <w:p w:rsidR="000E454E" w:rsidRDefault="000E454E" w:rsidP="000E454E">
      <w:pPr>
        <w:jc w:val="both"/>
      </w:pPr>
      <w:r>
        <w:t>ведение садоводства (код 13.2).</w:t>
      </w:r>
    </w:p>
    <w:p w:rsidR="000E454E" w:rsidRDefault="000E454E" w:rsidP="000E454E">
      <w:pPr>
        <w:jc w:val="both"/>
      </w:pPr>
      <w:r>
        <w:t>92. К категории низкого риска относятся все иные объекты контроля, не отнесённые к категориям, среднего или умеренного риска. В отношении объектов контроля (надзора), отнесённых к категории низкого риска, плановые контрольные (надзорные) мероприятия не проводятся.</w:t>
      </w:r>
    </w:p>
    <w:p w:rsidR="000E454E" w:rsidRDefault="000E454E" w:rsidP="000E454E">
      <w:pPr>
        <w:jc w:val="both"/>
      </w:pPr>
      <w:r>
        <w:t xml:space="preserve">93.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утверждёнными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 </w:t>
      </w:r>
    </w:p>
    <w:p w:rsidR="000E454E" w:rsidRDefault="000E454E" w:rsidP="000E454E">
      <w:pPr>
        <w:jc w:val="both"/>
      </w:pPr>
      <w:r>
        <w:t>94. К индикаторам риска нарушения обязательных требований относятся:</w:t>
      </w:r>
    </w:p>
    <w:p w:rsidR="000E454E" w:rsidRDefault="000E454E" w:rsidP="000E454E">
      <w:pPr>
        <w:jc w:val="both"/>
      </w:pPr>
      <w:r>
        <w:t xml:space="preserve"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</w:p>
    <w:p w:rsidR="000E454E" w:rsidRDefault="000E454E" w:rsidP="000E454E">
      <w:pPr>
        <w:jc w:val="both"/>
      </w:pPr>
      <w:r>
        <w:lastRenderedPageBreak/>
        <w:t xml:space="preserve"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</w:p>
    <w:p w:rsidR="000E454E" w:rsidRDefault="000E454E" w:rsidP="000E454E">
      <w:pPr>
        <w:jc w:val="both"/>
      </w:pPr>
      <w:r>
        <w:t xml:space="preserve">3. Длительное неосвоение земельного участка при условии, что с момента предоставления земельного участка прошло более трёх лет, либо истёк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разрешённым использованием и условиями предоставления). </w:t>
      </w:r>
    </w:p>
    <w:p w:rsidR="000E454E" w:rsidRDefault="000E454E" w:rsidP="000E454E">
      <w:pPr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0E454E" w:rsidRDefault="000E454E" w:rsidP="000E454E">
      <w:pPr>
        <w:jc w:val="both"/>
      </w:pPr>
      <w:r>
        <w:t>95.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454E" w:rsidRDefault="000E454E" w:rsidP="000E454E">
      <w:pPr>
        <w:jc w:val="both"/>
      </w:pPr>
      <w:r>
        <w:t>96. Включение в ежегодный план контрольных (надзорных) мероприятий осуществляется с учётом периодичности проведения плановых контрольных (надзорных) мероприятий, определяемой категорией риска.</w:t>
      </w:r>
    </w:p>
    <w:p w:rsidR="000E454E" w:rsidRDefault="000E454E" w:rsidP="000E454E">
      <w:pPr>
        <w:jc w:val="both"/>
      </w:pPr>
      <w:r>
        <w:t>Для объектов контроля, отнесённых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0E454E" w:rsidRDefault="000E454E" w:rsidP="000E454E">
      <w:pPr>
        <w:jc w:val="both"/>
      </w:pPr>
      <w:r>
        <w:t>Плановые контрольные (надзорные) мероприятия в отношении объектов контроля, отнесённых к категории низкого риска, не проводятся.</w:t>
      </w:r>
    </w:p>
    <w:p w:rsidR="000E454E" w:rsidRDefault="000E454E" w:rsidP="000E454E">
      <w:pPr>
        <w:jc w:val="both"/>
      </w:pPr>
      <w:r>
        <w:t>97.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учёт, автоматическую фиксацию информации, и иные сведения об объектах контроля.</w:t>
      </w:r>
    </w:p>
    <w:p w:rsidR="000E454E" w:rsidRDefault="000E454E" w:rsidP="000E454E">
      <w:pPr>
        <w:jc w:val="both"/>
      </w:pPr>
      <w: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данных.</w:t>
      </w: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  <w:r>
        <w:t>2.</w:t>
      </w:r>
      <w:r>
        <w:tab/>
        <w:t>Опубликовать настоящее решение в газете «Славские НОВОСТИ» и разместить на официальном сайте окружного Совета депутатов муниципального образования «Славский городской округ», а также на официальном сайте администрации Славского городского округа.</w:t>
      </w:r>
    </w:p>
    <w:p w:rsidR="000E454E" w:rsidRDefault="000E454E" w:rsidP="000E454E">
      <w:pPr>
        <w:jc w:val="both"/>
      </w:pPr>
      <w:r>
        <w:t>3.</w:t>
      </w:r>
      <w:r>
        <w:tab/>
        <w:t>Настоящее решение вступает в силу со дня его официального опубликования.</w:t>
      </w: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  <w:r>
        <w:t>Глава Славского городского округа                                                                                    Е. А. Матвеева</w:t>
      </w:r>
    </w:p>
    <w:p w:rsidR="000E454E" w:rsidRDefault="000E454E" w:rsidP="000E454E">
      <w:pPr>
        <w:jc w:val="both"/>
      </w:pPr>
    </w:p>
    <w:p w:rsidR="000E454E" w:rsidRDefault="000E454E" w:rsidP="000E454E">
      <w:pPr>
        <w:jc w:val="both"/>
      </w:pPr>
    </w:p>
    <w:bookmarkEnd w:id="0"/>
    <w:p w:rsidR="000E454E" w:rsidRDefault="000E454E" w:rsidP="000E454E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0E454E" w:rsidRDefault="000E454E" w:rsidP="000E454E">
      <w:pPr>
        <w:ind w:right="62"/>
        <w:jc w:val="both"/>
        <w:rPr>
          <w:rFonts w:eastAsia="Calibri" w:cs="Times New Roman"/>
          <w:kern w:val="0"/>
          <w:szCs w:val="24"/>
        </w:rPr>
      </w:pPr>
    </w:p>
    <w:sectPr w:rsidR="000E454E" w:rsidSect="000E45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E"/>
    <w:rsid w:val="000923AE"/>
    <w:rsid w:val="000E454E"/>
    <w:rsid w:val="008D156B"/>
    <w:rsid w:val="00991401"/>
    <w:rsid w:val="00AA4466"/>
    <w:rsid w:val="00C479B4"/>
    <w:rsid w:val="00D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BC2E-8FCE-4360-BF6F-543B233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cp:lastPrinted>2021-11-01T06:23:00Z</cp:lastPrinted>
  <dcterms:created xsi:type="dcterms:W3CDTF">2021-12-09T12:12:00Z</dcterms:created>
  <dcterms:modified xsi:type="dcterms:W3CDTF">2021-12-09T12:12:00Z</dcterms:modified>
</cp:coreProperties>
</file>