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5" w:rsidRDefault="00995965" w:rsidP="00995965">
      <w:pPr>
        <w:ind w:right="62"/>
        <w:jc w:val="both"/>
        <w:rPr>
          <w:rFonts w:eastAsia="Calibri" w:cs="Times New Roman"/>
          <w:kern w:val="0"/>
          <w:szCs w:val="24"/>
        </w:rPr>
      </w:pPr>
      <w:bookmarkStart w:id="0" w:name="_GoBack"/>
      <w:bookmarkEnd w:id="0"/>
    </w:p>
    <w:p w:rsidR="00995965" w:rsidRDefault="00995965" w:rsidP="00995965">
      <w:pPr>
        <w:ind w:right="62"/>
        <w:jc w:val="both"/>
        <w:rPr>
          <w:rFonts w:eastAsia="Calibri" w:cs="Times New Roman"/>
          <w:kern w:val="0"/>
          <w:szCs w:val="24"/>
        </w:rPr>
      </w:pPr>
    </w:p>
    <w:p w:rsidR="00995965" w:rsidRPr="001428DC" w:rsidRDefault="00995965" w:rsidP="00995965">
      <w:pPr>
        <w:jc w:val="center"/>
        <w:rPr>
          <w:rFonts w:eastAsia="Times New Roman" w:cs="Times New Roman"/>
          <w:b/>
          <w:kern w:val="0"/>
          <w:szCs w:val="24"/>
          <w:lang w:eastAsia="ru-RU"/>
        </w:rPr>
      </w:pPr>
      <w:r w:rsidRPr="001428DC">
        <w:rPr>
          <w:rFonts w:eastAsia="Times New Roman" w:cs="Times New Roman"/>
          <w:b/>
          <w:kern w:val="0"/>
          <w:szCs w:val="24"/>
          <w:lang w:eastAsia="ru-RU"/>
        </w:rPr>
        <w:t>РОССИЙСКАЯ ФЕДЕРАЦИЯ</w:t>
      </w:r>
    </w:p>
    <w:p w:rsidR="00995965" w:rsidRPr="001428DC" w:rsidRDefault="00995965" w:rsidP="00995965">
      <w:pPr>
        <w:jc w:val="center"/>
        <w:rPr>
          <w:rFonts w:eastAsia="Times New Roman" w:cs="Times New Roman"/>
          <w:b/>
          <w:kern w:val="0"/>
          <w:szCs w:val="20"/>
          <w:lang w:eastAsia="ru-RU"/>
        </w:rPr>
      </w:pPr>
      <w:r w:rsidRPr="001428DC">
        <w:rPr>
          <w:rFonts w:eastAsia="Times New Roman" w:cs="Times New Roman"/>
          <w:b/>
          <w:kern w:val="0"/>
          <w:szCs w:val="20"/>
          <w:lang w:eastAsia="ru-RU"/>
        </w:rPr>
        <w:t>КАЛИНИНГРАДСКАЯ ОБЛАСТЬ</w:t>
      </w:r>
    </w:p>
    <w:p w:rsidR="00995965" w:rsidRPr="001428DC" w:rsidRDefault="00995965" w:rsidP="00995965">
      <w:pPr>
        <w:jc w:val="center"/>
        <w:rPr>
          <w:rFonts w:eastAsia="Times New Roman" w:cs="Times New Roman"/>
          <w:b/>
          <w:kern w:val="0"/>
          <w:szCs w:val="20"/>
          <w:lang w:eastAsia="ru-RU"/>
        </w:rPr>
      </w:pPr>
      <w:r w:rsidRPr="001428DC">
        <w:rPr>
          <w:rFonts w:eastAsia="Times New Roman" w:cs="Times New Roman"/>
          <w:b/>
          <w:kern w:val="0"/>
          <w:szCs w:val="20"/>
          <w:lang w:eastAsia="ru-RU"/>
        </w:rPr>
        <w:t>МУНИЦИПАЛЬНОЕ ОБРАЗОВАНИЕ</w:t>
      </w:r>
      <w:r w:rsidRPr="001428DC">
        <w:rPr>
          <w:rFonts w:eastAsia="Times New Roman" w:cs="Times New Roman"/>
          <w:b/>
          <w:kern w:val="0"/>
          <w:szCs w:val="20"/>
          <w:lang w:eastAsia="ru-RU"/>
        </w:rPr>
        <w:br/>
        <w:t>«СЛАВСКИЙ ГОРОДСКОЙ ОКРУГ»</w:t>
      </w:r>
    </w:p>
    <w:p w:rsidR="00995965" w:rsidRPr="001428DC" w:rsidRDefault="00995965" w:rsidP="00995965">
      <w:pPr>
        <w:jc w:val="center"/>
        <w:rPr>
          <w:rFonts w:eastAsia="Times New Roman" w:cs="Times New Roman"/>
          <w:b/>
          <w:kern w:val="0"/>
          <w:szCs w:val="20"/>
          <w:lang w:eastAsia="ru-RU"/>
        </w:rPr>
      </w:pPr>
      <w:r w:rsidRPr="001428DC">
        <w:rPr>
          <w:rFonts w:eastAsia="Times New Roman" w:cs="Times New Roman"/>
          <w:b/>
          <w:kern w:val="0"/>
          <w:szCs w:val="20"/>
          <w:lang w:eastAsia="ru-RU"/>
        </w:rPr>
        <w:t>ОКРУЖНОЙ СОВЕТ ДЕПУТАТОВ</w:t>
      </w:r>
    </w:p>
    <w:p w:rsidR="00995965" w:rsidRPr="001428DC" w:rsidRDefault="00995965" w:rsidP="00995965">
      <w:pPr>
        <w:jc w:val="center"/>
        <w:rPr>
          <w:rFonts w:eastAsia="Times New Roman" w:cs="Times New Roman"/>
          <w:b/>
          <w:kern w:val="0"/>
          <w:szCs w:val="20"/>
          <w:lang w:eastAsia="ru-RU"/>
        </w:rPr>
      </w:pPr>
      <w:r w:rsidRPr="001428DC">
        <w:rPr>
          <w:rFonts w:eastAsia="Times New Roman" w:cs="Times New Roman"/>
          <w:b/>
          <w:kern w:val="0"/>
          <w:szCs w:val="20"/>
          <w:lang w:eastAsia="ru-RU"/>
        </w:rPr>
        <w:t>(6 созыв)</w:t>
      </w:r>
    </w:p>
    <w:p w:rsidR="00995965" w:rsidRPr="001428DC" w:rsidRDefault="00995965" w:rsidP="00995965">
      <w:pPr>
        <w:jc w:val="center"/>
        <w:rPr>
          <w:rFonts w:eastAsia="Times New Roman" w:cs="Times New Roman"/>
          <w:kern w:val="0"/>
          <w:szCs w:val="20"/>
          <w:lang w:eastAsia="ru-RU"/>
        </w:rPr>
      </w:pPr>
    </w:p>
    <w:p w:rsidR="00995965" w:rsidRPr="001428DC" w:rsidRDefault="00995965" w:rsidP="00995965">
      <w:pPr>
        <w:jc w:val="left"/>
        <w:rPr>
          <w:rFonts w:eastAsia="Times New Roman" w:cs="Times New Roman"/>
          <w:b/>
          <w:kern w:val="0"/>
          <w:szCs w:val="20"/>
          <w:lang w:eastAsia="ru-RU"/>
        </w:rPr>
      </w:pPr>
      <w:r>
        <w:rPr>
          <w:rFonts w:eastAsia="Times New Roman" w:cs="Times New Roman"/>
          <w:b/>
          <w:kern w:val="0"/>
          <w:szCs w:val="20"/>
          <w:lang w:eastAsia="ru-RU"/>
        </w:rPr>
        <w:t>27 октября</w:t>
      </w:r>
      <w:r w:rsidRPr="001428DC">
        <w:rPr>
          <w:rFonts w:eastAsia="Times New Roman" w:cs="Times New Roman"/>
          <w:b/>
          <w:kern w:val="0"/>
          <w:szCs w:val="20"/>
          <w:lang w:eastAsia="ru-RU"/>
        </w:rPr>
        <w:t xml:space="preserve"> 2021 г.                                                                                                                     г.</w:t>
      </w:r>
      <w:r>
        <w:rPr>
          <w:rFonts w:eastAsia="Times New Roman" w:cs="Times New Roman"/>
          <w:b/>
          <w:kern w:val="0"/>
          <w:szCs w:val="20"/>
          <w:lang w:eastAsia="ru-RU"/>
        </w:rPr>
        <w:t xml:space="preserve"> </w:t>
      </w:r>
      <w:r w:rsidRPr="001428DC">
        <w:rPr>
          <w:rFonts w:eastAsia="Times New Roman" w:cs="Times New Roman"/>
          <w:b/>
          <w:kern w:val="0"/>
          <w:szCs w:val="20"/>
          <w:lang w:eastAsia="ru-RU"/>
        </w:rPr>
        <w:t>Славск</w:t>
      </w:r>
    </w:p>
    <w:p w:rsidR="00995965" w:rsidRPr="001428DC" w:rsidRDefault="00995965" w:rsidP="00995965">
      <w:pPr>
        <w:jc w:val="left"/>
        <w:rPr>
          <w:rFonts w:eastAsia="Times New Roman" w:cs="Times New Roman"/>
          <w:kern w:val="0"/>
          <w:szCs w:val="20"/>
          <w:lang w:eastAsia="ru-RU"/>
        </w:rPr>
      </w:pPr>
    </w:p>
    <w:p w:rsidR="00995965" w:rsidRPr="001428DC" w:rsidRDefault="00995965" w:rsidP="00995965">
      <w:pPr>
        <w:keepNext/>
        <w:jc w:val="center"/>
        <w:outlineLvl w:val="1"/>
        <w:rPr>
          <w:rFonts w:eastAsia="Times New Roman" w:cs="Times New Roman"/>
          <w:b/>
          <w:kern w:val="0"/>
          <w:szCs w:val="20"/>
          <w:lang w:eastAsia="ru-RU"/>
        </w:rPr>
      </w:pPr>
      <w:r w:rsidRPr="001428DC">
        <w:rPr>
          <w:rFonts w:eastAsia="Times New Roman" w:cs="Times New Roman"/>
          <w:b/>
          <w:kern w:val="0"/>
          <w:szCs w:val="20"/>
          <w:lang w:eastAsia="ru-RU"/>
        </w:rPr>
        <w:t>РЕШЕНИЕ</w:t>
      </w:r>
    </w:p>
    <w:p w:rsidR="00995965" w:rsidRPr="001428DC" w:rsidRDefault="00995965" w:rsidP="00995965">
      <w:pPr>
        <w:jc w:val="center"/>
        <w:rPr>
          <w:rFonts w:eastAsia="Times New Roman" w:cs="Times New Roman"/>
          <w:b/>
          <w:kern w:val="0"/>
          <w:szCs w:val="20"/>
          <w:lang w:eastAsia="ru-RU"/>
        </w:rPr>
      </w:pPr>
      <w:r w:rsidRPr="001428DC">
        <w:rPr>
          <w:rFonts w:eastAsia="Times New Roman" w:cs="Times New Roman"/>
          <w:b/>
          <w:kern w:val="0"/>
          <w:szCs w:val="20"/>
          <w:lang w:eastAsia="ru-RU"/>
        </w:rPr>
        <w:t xml:space="preserve">№ </w:t>
      </w:r>
      <w:r>
        <w:rPr>
          <w:rFonts w:eastAsia="Times New Roman" w:cs="Times New Roman"/>
          <w:b/>
          <w:kern w:val="0"/>
          <w:szCs w:val="20"/>
          <w:lang w:eastAsia="ru-RU"/>
        </w:rPr>
        <w:t>75</w:t>
      </w:r>
    </w:p>
    <w:p w:rsidR="00995965" w:rsidRPr="00430D0A" w:rsidRDefault="00995965" w:rsidP="00995965">
      <w:pPr>
        <w:jc w:val="center"/>
        <w:rPr>
          <w:rFonts w:eastAsia="Times New Roman" w:cs="Arial"/>
          <w:kern w:val="0"/>
          <w:sz w:val="26"/>
          <w:szCs w:val="26"/>
          <w:lang w:eastAsia="ru-RU"/>
        </w:rPr>
      </w:pPr>
    </w:p>
    <w:p w:rsidR="00995965" w:rsidRPr="00B17FA4" w:rsidRDefault="00995965" w:rsidP="00995965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Cs w:val="24"/>
          <w:lang w:eastAsia="ru-RU"/>
        </w:rPr>
      </w:pPr>
      <w:r w:rsidRPr="00B17FA4">
        <w:rPr>
          <w:rFonts w:eastAsia="Times New Roman" w:cs="Times New Roman"/>
          <w:b/>
          <w:bCs/>
          <w:kern w:val="0"/>
          <w:szCs w:val="24"/>
          <w:lang w:eastAsia="ru-RU"/>
        </w:rPr>
        <w:t>О внесении изменений в решение окружного Совета депутатов муниципального образования «Славский городской округ» от 18.08.2021 №46 «Об утверждении Положения по исполнению муниципальной функции «Осуществление муниципального жилищного контроля на территории муниципального образования «Славский городской округ»</w:t>
      </w:r>
    </w:p>
    <w:p w:rsidR="00995965" w:rsidRPr="00B17FA4" w:rsidRDefault="00995965" w:rsidP="00995965">
      <w:pPr>
        <w:spacing w:line="276" w:lineRule="auto"/>
        <w:ind w:firstLine="567"/>
        <w:jc w:val="center"/>
        <w:rPr>
          <w:rFonts w:eastAsia="Times New Roman" w:cs="Times New Roman"/>
          <w:b/>
          <w:bCs/>
          <w:kern w:val="0"/>
          <w:szCs w:val="24"/>
          <w:lang w:eastAsia="ru-RU"/>
        </w:rPr>
      </w:pPr>
    </w:p>
    <w:p w:rsidR="00995965" w:rsidRPr="00B17FA4" w:rsidRDefault="00995965" w:rsidP="00995965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Руководствуясь ст. 20 Жилищного кодекса Российской Федерации </w:t>
      </w:r>
      <w:hyperlink r:id="rId5" w:history="1">
        <w:r w:rsidRPr="00B17FA4">
          <w:rPr>
            <w:rFonts w:eastAsia="Times New Roman" w:cs="Times New Roman"/>
            <w:bCs/>
            <w:color w:val="000000"/>
            <w:spacing w:val="1"/>
            <w:kern w:val="0"/>
            <w:szCs w:val="24"/>
            <w:lang w:eastAsia="ru-RU"/>
          </w:rPr>
          <w:t>от 29.12.2004 N 188-ФЗ</w:t>
        </w:r>
      </w:hyperlink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на основании Устава муниципального образования «Славский городской округ», окружной Совет депутатов муниципального образования «Славский городской округ»</w:t>
      </w:r>
    </w:p>
    <w:p w:rsidR="00995965" w:rsidRPr="00B17FA4" w:rsidRDefault="00995965" w:rsidP="00995965">
      <w:pPr>
        <w:spacing w:line="276" w:lineRule="auto"/>
        <w:ind w:firstLine="567"/>
        <w:jc w:val="center"/>
        <w:rPr>
          <w:rFonts w:eastAsia="Times New Roman" w:cs="Times New Roman"/>
          <w:b/>
          <w:bCs/>
          <w:color w:val="000000"/>
          <w:spacing w:val="1"/>
          <w:kern w:val="0"/>
          <w:szCs w:val="24"/>
          <w:lang w:eastAsia="ru-RU"/>
        </w:rPr>
      </w:pPr>
    </w:p>
    <w:p w:rsidR="00995965" w:rsidRPr="00B17FA4" w:rsidRDefault="00995965" w:rsidP="00995965">
      <w:pPr>
        <w:spacing w:line="276" w:lineRule="auto"/>
        <w:jc w:val="center"/>
        <w:rPr>
          <w:rFonts w:eastAsia="Times New Roman" w:cs="Times New Roman"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/>
          <w:bCs/>
          <w:color w:val="000000"/>
          <w:spacing w:val="1"/>
          <w:kern w:val="0"/>
          <w:szCs w:val="24"/>
          <w:lang w:eastAsia="ru-RU"/>
        </w:rPr>
        <w:t>РЕШИЛ:</w:t>
      </w:r>
    </w:p>
    <w:p w:rsidR="00995965" w:rsidRPr="00B17FA4" w:rsidRDefault="00995965" w:rsidP="00995965">
      <w:pPr>
        <w:spacing w:line="276" w:lineRule="auto"/>
        <w:jc w:val="both"/>
        <w:rPr>
          <w:rFonts w:eastAsia="Times New Roman" w:cs="Times New Roman"/>
          <w:color w:val="000000"/>
          <w:spacing w:val="1"/>
          <w:kern w:val="0"/>
          <w:szCs w:val="24"/>
          <w:lang w:eastAsia="ru-RU"/>
        </w:rPr>
      </w:pPr>
    </w:p>
    <w:p w:rsidR="00995965" w:rsidRPr="00B17FA4" w:rsidRDefault="00995965" w:rsidP="00995965">
      <w:pPr>
        <w:widowControl w:val="0"/>
        <w:numPr>
          <w:ilvl w:val="0"/>
          <w:numId w:val="1"/>
        </w:numPr>
        <w:suppressAutoHyphens/>
        <w:spacing w:line="276" w:lineRule="auto"/>
        <w:ind w:left="0" w:firstLine="540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Внести в Положение </w:t>
      </w:r>
      <w:r w:rsidRPr="00B17FA4">
        <w:rPr>
          <w:rFonts w:eastAsia="Times New Roman" w:cs="Times New Roman"/>
          <w:bCs/>
          <w:kern w:val="0"/>
          <w:szCs w:val="24"/>
          <w:lang w:eastAsia="ru-RU"/>
        </w:rPr>
        <w:t>по исполнению муниципальной функции «Осуществление муниципального жилищного контроля на территории муниципального образования «Славский городской округ», утверждённое решением окружного Совета депутатов муниципального образования «Славский городской округ» от 18.08.2021 №46 следующие изменения</w:t>
      </w: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:</w:t>
      </w:r>
    </w:p>
    <w:p w:rsidR="00995965" w:rsidRPr="00B17FA4" w:rsidRDefault="00995965" w:rsidP="00995965">
      <w:pPr>
        <w:widowControl w:val="0"/>
        <w:suppressAutoHyphens/>
        <w:spacing w:line="276" w:lineRule="auto"/>
        <w:ind w:firstLine="540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- д</w:t>
      </w: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ополнить Положение </w:t>
      </w:r>
      <w:r w:rsidRPr="00B17FA4">
        <w:rPr>
          <w:rFonts w:eastAsia="Times New Roman" w:cs="Times New Roman"/>
          <w:bCs/>
          <w:kern w:val="0"/>
          <w:szCs w:val="24"/>
          <w:lang w:eastAsia="ru-RU"/>
        </w:rPr>
        <w:t>по исполнению муниципальной функции «Осуществление муниципального жилищного контроля на территории муниципального образования «Славский городской округ»</w:t>
      </w: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 Разделом 11 следующего содержания:</w:t>
      </w:r>
    </w:p>
    <w:p w:rsidR="00995965" w:rsidRPr="00B17FA4" w:rsidRDefault="00995965" w:rsidP="00995965">
      <w:pPr>
        <w:spacing w:before="108"/>
        <w:jc w:val="center"/>
        <w:rPr>
          <w:rFonts w:eastAsia="Times New Roman" w:cs="Times New Roman"/>
          <w:b/>
          <w:color w:val="000000"/>
          <w:kern w:val="0"/>
          <w:szCs w:val="24"/>
          <w:lang w:eastAsia="ru-RU"/>
        </w:rPr>
      </w:pPr>
      <w:r>
        <w:rPr>
          <w:rFonts w:eastAsia="Times New Roman" w:cs="Times New Roman"/>
          <w:b/>
          <w:bCs/>
          <w:kern w:val="0"/>
          <w:szCs w:val="24"/>
          <w:lang w:eastAsia="ru-RU"/>
        </w:rPr>
        <w:t>«</w:t>
      </w:r>
      <w:r w:rsidRPr="00B17FA4">
        <w:rPr>
          <w:rFonts w:eastAsia="Times New Roman" w:cs="Times New Roman"/>
          <w:b/>
          <w:bCs/>
          <w:kern w:val="0"/>
          <w:szCs w:val="24"/>
          <w:lang w:eastAsia="ru-RU"/>
        </w:rPr>
        <w:t>Раздел 11.</w:t>
      </w:r>
      <w:r w:rsidRPr="00B17FA4">
        <w:rPr>
          <w:rFonts w:eastAsia="Times New Roman" w:cs="Times New Roman"/>
          <w:b/>
          <w:color w:val="000000"/>
          <w:kern w:val="0"/>
          <w:szCs w:val="24"/>
          <w:lang w:eastAsia="ru-RU"/>
        </w:rPr>
        <w:t xml:space="preserve"> УПРАВЛЕНИЕ РИСКАМИ ПРИЧИНЕНИЯ ВРЕДА (УЩЕРБА) ОХРАНЯЕМЫМ ЗАКОНОМ ЦЕННОСТЯМ ПРИ ОСУЩЕСТВЛЕНИИ ВИДА КОНТРОЛЯ</w:t>
      </w:r>
    </w:p>
    <w:p w:rsidR="00995965" w:rsidRPr="00B17FA4" w:rsidRDefault="00995965" w:rsidP="00995965">
      <w:pPr>
        <w:spacing w:before="108"/>
        <w:jc w:val="center"/>
        <w:rPr>
          <w:rFonts w:eastAsia="Times New Roman" w:cs="Times New Roman"/>
          <w:kern w:val="0"/>
          <w:szCs w:val="24"/>
          <w:lang w:eastAsia="ru-RU"/>
        </w:rPr>
      </w:pP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89.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 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высокий риск; 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средний риск; 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умеренный риск; 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низкий риск.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90</w:t>
      </w: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. </w:t>
      </w: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Отнесение объектов контроля к определённой категории риска осуществляется в зависимости от значения показателя риска: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при значении показателя риска более 6 объект контроля относится к категории высокого риска;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lastRenderedPageBreak/>
        <w:t xml:space="preserve">при значении показателя риска от 4 до 6 включительно - к категории среднего риска;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при значении показателя риска от 2 до 3 включительно - к категории умеренного риска; 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при значении показателя риска от 0 до 1 включительно - к категории низкого риска. К категории низкого риска относятся все иные объекты контроля, не отнесённые к категориям значительного, среднего или умеренного риска. В отношении объектов контроля (надзора), отнесённых к категории низкого риска, плановые контрольные (надзорные) мероприятия не проводятся.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9</w:t>
      </w:r>
      <w:r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1</w:t>
      </w: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. </w:t>
      </w: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Показатель риска рассчитывается по следующей формуле: </w:t>
      </w:r>
    </w:p>
    <w:p w:rsidR="00995965" w:rsidRPr="00B17FA4" w:rsidRDefault="00995965" w:rsidP="00995965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>К = 2 x V1 + V2 + 2 x V3, где: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К - показатель риска;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определённой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статьёй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статьёй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bCs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9</w:t>
      </w:r>
      <w:r>
        <w:rPr>
          <w:rFonts w:eastAsia="Times New Roman" w:cs="Times New Roman"/>
          <w:kern w:val="0"/>
          <w:szCs w:val="24"/>
          <w:lang w:eastAsia="ru-RU"/>
        </w:rPr>
        <w:t>2</w:t>
      </w:r>
      <w:r w:rsidRPr="00B17FA4">
        <w:rPr>
          <w:rFonts w:eastAsia="Times New Roman" w:cs="Times New Roman"/>
          <w:kern w:val="0"/>
          <w:szCs w:val="24"/>
          <w:lang w:eastAsia="ru-RU"/>
        </w:rPr>
        <w:t>. К индикаторам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относятся:</w:t>
      </w:r>
      <w:r w:rsidRPr="00B17FA4">
        <w:rPr>
          <w:rFonts w:eastAsia="Times New Roman" w:cs="Times New Roman"/>
          <w:b/>
          <w:bCs/>
          <w:color w:val="000000"/>
          <w:kern w:val="0"/>
          <w:szCs w:val="24"/>
          <w:lang w:eastAsia="ru-RU"/>
        </w:rPr>
        <w:t xml:space="preserve">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>1</w:t>
      </w:r>
      <w:r w:rsidRPr="00B17FA4">
        <w:rPr>
          <w:rFonts w:eastAsia="Times New Roman" w:cs="Times New Roman"/>
          <w:kern w:val="0"/>
          <w:szCs w:val="24"/>
          <w:lang w:eastAsia="ru-RU"/>
        </w:rPr>
        <w:t xml:space="preserve">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б) порядку осуществления перепланировки и (или) переустройства помещений в многоквартирном доме;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в) к предоставлению коммунальных услуг собственникам и пользователям помещений в многоквартирных домах и жилых домов;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г) к обеспечению доступности для инвалидов помещений в многоквартирных домах;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д) к деятельности юридических лиц, осуществляющих управление многоквартирными домами, в части осуществления аварийно-диспетчерского обслуживания;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е) к обеспечению безопасности при использовании и содержании внутридомового и внутриквартирного газового оборудования. </w:t>
      </w:r>
    </w:p>
    <w:p w:rsidR="00995965" w:rsidRPr="00B17FA4" w:rsidRDefault="00995965" w:rsidP="00995965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lastRenderedPageBreak/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2.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</w:t>
      </w: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 </w:t>
      </w:r>
    </w:p>
    <w:p w:rsidR="00995965" w:rsidRPr="00B17FA4" w:rsidRDefault="00995965" w:rsidP="0099596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 </w:t>
      </w:r>
    </w:p>
    <w:p w:rsidR="00995965" w:rsidRPr="00B17FA4" w:rsidRDefault="00995965" w:rsidP="0099596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color w:val="000000"/>
          <w:kern w:val="0"/>
          <w:szCs w:val="24"/>
          <w:lang w:eastAsia="ru-RU"/>
        </w:rPr>
        <w:t>4. выявление в течение трёх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9</w:t>
      </w:r>
      <w:r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3</w:t>
      </w: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9</w:t>
      </w:r>
      <w:r>
        <w:rPr>
          <w:rFonts w:eastAsia="Times New Roman" w:cs="Times New Roman"/>
          <w:kern w:val="0"/>
          <w:szCs w:val="24"/>
          <w:lang w:eastAsia="ru-RU"/>
        </w:rPr>
        <w:t>4</w:t>
      </w:r>
      <w:r w:rsidRPr="00B17FA4">
        <w:rPr>
          <w:rFonts w:eastAsia="Times New Roman" w:cs="Times New Roman"/>
          <w:kern w:val="0"/>
          <w:szCs w:val="24"/>
          <w:lang w:eastAsia="ru-RU"/>
        </w:rPr>
        <w:t>. Включение в ежегодный план контрольных (надзорных) мероприятий осуществляется с учётом периодичности проведения плановых контрольных (надзорных) мероприятий, определяемой категорией риска.</w:t>
      </w:r>
    </w:p>
    <w:p w:rsidR="00995965" w:rsidRPr="00B17FA4" w:rsidRDefault="00995965" w:rsidP="0099596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Для объектов контроля, отнесённых к категориям высокого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995965" w:rsidRPr="00B17FA4" w:rsidRDefault="00995965" w:rsidP="0099596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Для объектов контроля, отнесённых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995965" w:rsidRPr="00B17FA4" w:rsidRDefault="00995965" w:rsidP="0099596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Плановые контрольные (надзорные) мероприятия в отношении объектов контроля, отнесённых к категории низкого риска, не проводятся.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9</w:t>
      </w:r>
      <w:r>
        <w:rPr>
          <w:rFonts w:eastAsia="Times New Roman" w:cs="Times New Roman"/>
          <w:kern w:val="0"/>
          <w:szCs w:val="24"/>
          <w:lang w:eastAsia="ru-RU"/>
        </w:rPr>
        <w:t>5</w:t>
      </w:r>
      <w:r w:rsidRPr="00B17FA4">
        <w:rPr>
          <w:rFonts w:eastAsia="Times New Roman" w:cs="Times New Roman"/>
          <w:kern w:val="0"/>
          <w:szCs w:val="24"/>
          <w:lang w:eastAsia="ru-RU"/>
        </w:rPr>
        <w:t xml:space="preserve">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</w:t>
      </w:r>
      <w:r w:rsidRPr="00B17FA4">
        <w:rPr>
          <w:rFonts w:eastAsia="Times New Roman" w:cs="Times New Roman"/>
          <w:kern w:val="0"/>
          <w:szCs w:val="24"/>
          <w:lang w:eastAsia="ru-RU"/>
        </w:rPr>
        <w:lastRenderedPageBreak/>
        <w:t xml:space="preserve">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B17FA4">
        <w:rPr>
          <w:rFonts w:eastAsia="Times New Roman" w:cs="Times New Roman"/>
          <w:kern w:val="0"/>
          <w:szCs w:val="24"/>
          <w:lang w:eastAsia="ru-RU"/>
        </w:rPr>
        <w:t>прослеживаемость</w:t>
      </w:r>
      <w:proofErr w:type="spellEnd"/>
      <w:r w:rsidRPr="00B17FA4">
        <w:rPr>
          <w:rFonts w:eastAsia="Times New Roman" w:cs="Times New Roman"/>
          <w:kern w:val="0"/>
          <w:szCs w:val="24"/>
          <w:lang w:eastAsia="ru-RU"/>
        </w:rPr>
        <w:t>, учёт, автоматическую фиксацию информации, и иные сведения об объектах контроля.</w:t>
      </w:r>
    </w:p>
    <w:p w:rsidR="00995965" w:rsidRPr="00B17FA4" w:rsidRDefault="00995965" w:rsidP="00995965">
      <w:pPr>
        <w:ind w:firstLine="708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>Контрольные (надзорные) мероприятия без взаимодействия с контролируемым лицом в целях сбора данных для оценки объектов контроля по категории риска, проводятся с применением специальных средств фото и видео мониторинга территорий рассматриваемого объекта, а также из открытых источников данных.</w:t>
      </w:r>
      <w:r>
        <w:rPr>
          <w:rFonts w:eastAsia="Times New Roman" w:cs="Times New Roman"/>
          <w:kern w:val="0"/>
          <w:szCs w:val="24"/>
          <w:lang w:eastAsia="ru-RU"/>
        </w:rPr>
        <w:t>»</w:t>
      </w:r>
    </w:p>
    <w:p w:rsidR="00995965" w:rsidRPr="00B17FA4" w:rsidRDefault="00995965" w:rsidP="00995965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Cs w:val="24"/>
          <w:lang w:eastAsia="ru-RU"/>
        </w:rPr>
      </w:pPr>
    </w:p>
    <w:p w:rsidR="00995965" w:rsidRPr="00B17FA4" w:rsidRDefault="00995965" w:rsidP="00995965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</w:pPr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Опубликовать настоящее решение в газете «</w:t>
      </w:r>
      <w:proofErr w:type="spellStart"/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>Славские</w:t>
      </w:r>
      <w:proofErr w:type="spellEnd"/>
      <w:r w:rsidRPr="00B17FA4">
        <w:rPr>
          <w:rFonts w:eastAsia="Times New Roman" w:cs="Times New Roman"/>
          <w:bCs/>
          <w:color w:val="000000"/>
          <w:spacing w:val="1"/>
          <w:kern w:val="0"/>
          <w:szCs w:val="24"/>
          <w:lang w:eastAsia="ru-RU"/>
        </w:rPr>
        <w:t xml:space="preserve"> НОВОСТИ» и разместить на официальном сайте окружного Совета депутатов муниципального образования «Славский городской округ», а также на официальном сайте администрации Славского городского округа.</w:t>
      </w:r>
    </w:p>
    <w:p w:rsidR="00995965" w:rsidRPr="00B17FA4" w:rsidRDefault="00995965" w:rsidP="00995965">
      <w:pPr>
        <w:numPr>
          <w:ilvl w:val="0"/>
          <w:numId w:val="1"/>
        </w:numPr>
        <w:spacing w:line="276" w:lineRule="auto"/>
        <w:ind w:left="0" w:firstLine="540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Настоящее решение вступает в силу со дня его </w:t>
      </w:r>
      <w:hyperlink r:id="rId6" w:history="1">
        <w:r w:rsidRPr="00B17FA4">
          <w:rPr>
            <w:rFonts w:eastAsia="Times New Roman" w:cs="Times New Roman"/>
            <w:kern w:val="0"/>
            <w:szCs w:val="24"/>
            <w:lang w:eastAsia="ru-RU"/>
          </w:rPr>
          <w:t>официального опубликования</w:t>
        </w:r>
      </w:hyperlink>
      <w:r w:rsidRPr="00B17FA4">
        <w:rPr>
          <w:rFonts w:eastAsia="Times New Roman" w:cs="Times New Roman"/>
          <w:kern w:val="0"/>
          <w:szCs w:val="24"/>
          <w:lang w:eastAsia="ru-RU"/>
        </w:rPr>
        <w:t>.</w:t>
      </w:r>
    </w:p>
    <w:p w:rsidR="00995965" w:rsidRPr="00B17FA4" w:rsidRDefault="00995965" w:rsidP="00995965">
      <w:pPr>
        <w:spacing w:line="276" w:lineRule="auto"/>
        <w:jc w:val="both"/>
        <w:rPr>
          <w:rFonts w:eastAsia="Times New Roman" w:cs="Times New Roman"/>
          <w:kern w:val="0"/>
          <w:szCs w:val="24"/>
          <w:lang w:eastAsia="ru-RU"/>
        </w:rPr>
      </w:pPr>
    </w:p>
    <w:p w:rsidR="00995965" w:rsidRPr="00B17FA4" w:rsidRDefault="00995965" w:rsidP="0099596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left"/>
        <w:rPr>
          <w:rFonts w:eastAsia="Times New Roman" w:cs="Times New Roman"/>
          <w:color w:val="000000"/>
          <w:kern w:val="0"/>
          <w:szCs w:val="24"/>
          <w:lang w:eastAsia="ru-RU"/>
        </w:rPr>
      </w:pPr>
      <w:r w:rsidRPr="00B17FA4">
        <w:rPr>
          <w:rFonts w:eastAsia="Times New Roman" w:cs="Times New Roman"/>
          <w:kern w:val="0"/>
          <w:szCs w:val="24"/>
          <w:lang w:eastAsia="ru-RU"/>
        </w:rPr>
        <w:t xml:space="preserve">Глава </w:t>
      </w:r>
      <w:r>
        <w:rPr>
          <w:rFonts w:eastAsia="Times New Roman" w:cs="Times New Roman"/>
          <w:kern w:val="0"/>
          <w:szCs w:val="24"/>
          <w:lang w:eastAsia="ru-RU"/>
        </w:rPr>
        <w:t>МО «</w:t>
      </w:r>
      <w:r w:rsidRPr="00B17FA4">
        <w:rPr>
          <w:rFonts w:eastAsia="Times New Roman" w:cs="Times New Roman"/>
          <w:kern w:val="0"/>
          <w:szCs w:val="24"/>
          <w:lang w:eastAsia="ru-RU"/>
        </w:rPr>
        <w:t>Славск</w:t>
      </w:r>
      <w:r>
        <w:rPr>
          <w:rFonts w:eastAsia="Times New Roman" w:cs="Times New Roman"/>
          <w:kern w:val="0"/>
          <w:szCs w:val="24"/>
          <w:lang w:eastAsia="ru-RU"/>
        </w:rPr>
        <w:t>ий</w:t>
      </w:r>
      <w:r w:rsidRPr="00B17FA4">
        <w:rPr>
          <w:rFonts w:eastAsia="Times New Roman" w:cs="Times New Roman"/>
          <w:kern w:val="0"/>
          <w:szCs w:val="24"/>
          <w:lang w:eastAsia="ru-RU"/>
        </w:rPr>
        <w:t xml:space="preserve"> городско</w:t>
      </w:r>
      <w:r>
        <w:rPr>
          <w:rFonts w:eastAsia="Times New Roman" w:cs="Times New Roman"/>
          <w:kern w:val="0"/>
          <w:szCs w:val="24"/>
          <w:lang w:eastAsia="ru-RU"/>
        </w:rPr>
        <w:t>й</w:t>
      </w:r>
      <w:r w:rsidRPr="00B17FA4">
        <w:rPr>
          <w:rFonts w:eastAsia="Times New Roman" w:cs="Times New Roman"/>
          <w:kern w:val="0"/>
          <w:szCs w:val="24"/>
          <w:lang w:eastAsia="ru-RU"/>
        </w:rPr>
        <w:t xml:space="preserve"> </w:t>
      </w:r>
      <w:proofErr w:type="gramStart"/>
      <w:r w:rsidRPr="00B17FA4">
        <w:rPr>
          <w:rFonts w:eastAsia="Times New Roman" w:cs="Times New Roman"/>
          <w:kern w:val="0"/>
          <w:szCs w:val="24"/>
          <w:lang w:eastAsia="ru-RU"/>
        </w:rPr>
        <w:t>округ</w:t>
      </w:r>
      <w:r>
        <w:rPr>
          <w:rFonts w:eastAsia="Times New Roman" w:cs="Times New Roman"/>
          <w:kern w:val="0"/>
          <w:szCs w:val="24"/>
          <w:lang w:eastAsia="ru-RU"/>
        </w:rPr>
        <w:t>»</w:t>
      </w:r>
      <w:r w:rsidRPr="00B17FA4">
        <w:rPr>
          <w:rFonts w:eastAsia="Times New Roman" w:cs="Times New Roman"/>
          <w:kern w:val="0"/>
          <w:szCs w:val="24"/>
          <w:lang w:eastAsia="ru-RU"/>
        </w:rPr>
        <w:t xml:space="preserve">   </w:t>
      </w:r>
      <w:proofErr w:type="gramEnd"/>
      <w:r w:rsidRPr="00B17FA4">
        <w:rPr>
          <w:rFonts w:eastAsia="Times New Roman" w:cs="Times New Roman"/>
          <w:kern w:val="0"/>
          <w:szCs w:val="24"/>
          <w:lang w:eastAsia="ru-RU"/>
        </w:rPr>
        <w:t xml:space="preserve">                           </w:t>
      </w:r>
      <w:r>
        <w:rPr>
          <w:rFonts w:eastAsia="Times New Roman" w:cs="Times New Roman"/>
          <w:kern w:val="0"/>
          <w:szCs w:val="24"/>
          <w:lang w:eastAsia="ru-RU"/>
        </w:rPr>
        <w:t xml:space="preserve">                                       </w:t>
      </w:r>
      <w:r w:rsidRPr="00B17FA4">
        <w:rPr>
          <w:rFonts w:eastAsia="Times New Roman" w:cs="Times New Roman"/>
          <w:kern w:val="0"/>
          <w:szCs w:val="24"/>
          <w:lang w:eastAsia="ru-RU"/>
        </w:rPr>
        <w:t xml:space="preserve">     Е. А. Матвеева</w:t>
      </w:r>
    </w:p>
    <w:p w:rsidR="00995965" w:rsidRDefault="00995965" w:rsidP="00995965">
      <w:pPr>
        <w:ind w:right="62"/>
        <w:jc w:val="both"/>
        <w:rPr>
          <w:rFonts w:eastAsia="Calibri" w:cs="Times New Roman"/>
          <w:kern w:val="0"/>
          <w:szCs w:val="24"/>
        </w:rPr>
      </w:pPr>
    </w:p>
    <w:p w:rsidR="00991401" w:rsidRDefault="00991401" w:rsidP="00995965">
      <w:pPr>
        <w:jc w:val="both"/>
      </w:pPr>
    </w:p>
    <w:sectPr w:rsidR="00991401" w:rsidSect="0099596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65"/>
    <w:rsid w:val="00695BCB"/>
    <w:rsid w:val="00991401"/>
    <w:rsid w:val="00995965"/>
    <w:rsid w:val="00C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A0D6-15B7-420B-901E-6A9F32E8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F"/>
        <w:kern w:val="3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http://www.consultant.ru/document/cons_doc_LAW_510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2</cp:revision>
  <dcterms:created xsi:type="dcterms:W3CDTF">2021-12-09T12:13:00Z</dcterms:created>
  <dcterms:modified xsi:type="dcterms:W3CDTF">2021-12-09T12:13:00Z</dcterms:modified>
</cp:coreProperties>
</file>